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вила-пересечения-проезжей-части-дорог"/>
    <w:p>
      <w:pPr>
        <w:pStyle w:val="Heading3"/>
      </w:pPr>
      <w:r>
        <w:t xml:space="preserve">ПРАВИЛА ПЕРЕСЕЧЕНИЯ ПРОЕЗЖЕЙ ЧАСТИ ДОРОГ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drawing>
          <wp:inline>
            <wp:extent cx="1524000" cy="21701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kasovo.mos.ru/www/upload/medialibrary/7cf/24cl7h9s45dcicyax0fxgqi2mhjhnk4d/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170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http://bekasovo.mos.ru/bezopasnost-dorozhnogo-dvizheniya/detail/pravila_peresecheniya_proezzhey_chasti_dorog.html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Бекасово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kasovo.mos.ru" TargetMode="External" /><Relationship Type="http://schemas.openxmlformats.org/officeDocument/2006/relationships/hyperlink" Id="rId23" Target="http://bekasovo.mos.ru/bezopasnost-dorozhnogo-dvizheniya/detail/pravila_peresecheniya_proezzhey_chasti_dorog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kasovo.mos.ru" TargetMode="External" /><Relationship Type="http://schemas.openxmlformats.org/officeDocument/2006/relationships/hyperlink" Id="rId23" Target="http://bekasovo.mos.ru/bezopasnost-dorozhnogo-dvizheniya/detail/pravila_peresecheniya_proezzhey_chasti_dorog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2025-05-15T07:41:37Z</dcterms:created>
  <dcterms:modified xsi:type="dcterms:W3CDTF">2025-05-15T07:41:37Z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